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</w:rPr>
        <w:t>临夏市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lang w:eastAsia="zh-CN"/>
        </w:rPr>
        <w:t>发展和改革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</w:rPr>
        <w:t>局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</w:rPr>
        <w:t>2021年政府信息公开工作年度报告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2021年，我局认真贯彻落实《中华人民共和国政府信息公开条例》及州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有关文件精神，夯实政府信息公开工作基础，拓展公开渠道，创新公开万式，加大工作力度，按照“以公开为原则，不公开为例外”的要求，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扎实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推进政府信息公开的各项工作，取得了一定成效。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(一)主动公开情况。2021年度，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</w:t>
      </w:r>
      <w:r>
        <w:rPr>
          <w:rFonts w:hint="default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default" w:ascii="仿宋_GB2312" w:hAnsi="仿宋_GB2312" w:eastAsia="仿宋_GB2312" w:cs="仿宋_GB2312"/>
          <w:sz w:val="32"/>
          <w:szCs w:val="32"/>
        </w:rPr>
        <w:t>主动在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sz w:val="32"/>
          <w:szCs w:val="32"/>
        </w:rPr>
        <w:t>政府网站主动公开了政府信息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条。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二是我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局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共认领政务服务事项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项，其中行政许可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项，行政奖励2项，行政确认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其他行政权力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项，统一政务服务事项名称、编码、依据和类型等基本要素，全部实现在线办理。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default" w:ascii="仿宋_GB2312" w:hAnsi="仿宋_GB2312" w:eastAsia="仿宋_GB2312" w:cs="仿宋_GB2312"/>
          <w:sz w:val="32"/>
          <w:szCs w:val="32"/>
        </w:rPr>
        <w:t>是2021年通过投资项目在线审批监管平台共申报项目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343</w:t>
      </w:r>
      <w:r>
        <w:rPr>
          <w:rFonts w:hint="default" w:ascii="仿宋_GB2312" w:hAnsi="仿宋_GB2312" w:eastAsia="仿宋_GB2312" w:cs="仿宋_GB2312"/>
          <w:sz w:val="32"/>
          <w:szCs w:val="32"/>
        </w:rPr>
        <w:t>个，申报总投资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854.51</w:t>
      </w:r>
      <w:r>
        <w:rPr>
          <w:rFonts w:hint="default" w:ascii="仿宋_GB2312" w:hAnsi="仿宋_GB2312" w:eastAsia="仿宋_GB2312" w:cs="仿宋_GB2312"/>
          <w:sz w:val="32"/>
          <w:szCs w:val="32"/>
        </w:rPr>
        <w:t>亿元，其中审批类项目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270</w:t>
      </w:r>
      <w:r>
        <w:rPr>
          <w:rFonts w:hint="default" w:ascii="仿宋_GB2312" w:hAnsi="仿宋_GB2312" w:eastAsia="仿宋_GB2312" w:cs="仿宋_GB2312"/>
          <w:sz w:val="32"/>
          <w:szCs w:val="32"/>
        </w:rPr>
        <w:t>个，申报总投资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722.53</w:t>
      </w:r>
      <w:r>
        <w:rPr>
          <w:rFonts w:hint="default" w:ascii="仿宋_GB2312" w:hAnsi="仿宋_GB2312" w:eastAsia="仿宋_GB2312" w:cs="仿宋_GB2312"/>
          <w:sz w:val="32"/>
          <w:szCs w:val="32"/>
        </w:rPr>
        <w:t>亿元，备案类项目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73</w:t>
      </w:r>
      <w:r>
        <w:rPr>
          <w:rFonts w:hint="default" w:ascii="仿宋_GB2312" w:hAnsi="仿宋_GB2312" w:eastAsia="仿宋_GB2312" w:cs="仿宋_GB2312"/>
          <w:sz w:val="32"/>
          <w:szCs w:val="32"/>
        </w:rPr>
        <w:t>个，总投资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131.98</w:t>
      </w:r>
      <w:r>
        <w:rPr>
          <w:rFonts w:hint="default" w:ascii="仿宋_GB2312" w:hAnsi="仿宋_GB2312" w:eastAsia="仿宋_GB2312" w:cs="仿宋_GB2312"/>
          <w:sz w:val="32"/>
          <w:szCs w:val="32"/>
        </w:rPr>
        <w:t>亿元。共办理项目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175</w:t>
      </w:r>
      <w:r>
        <w:rPr>
          <w:rFonts w:hint="default" w:ascii="仿宋_GB2312" w:hAnsi="仿宋_GB2312" w:eastAsia="仿宋_GB2312" w:cs="仿宋_GB2312"/>
          <w:sz w:val="32"/>
          <w:szCs w:val="32"/>
        </w:rPr>
        <w:t>个，总投资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193.92</w:t>
      </w:r>
      <w:r>
        <w:rPr>
          <w:rFonts w:hint="default" w:ascii="仿宋_GB2312" w:hAnsi="仿宋_GB2312" w:eastAsia="仿宋_GB2312" w:cs="仿宋_GB2312"/>
          <w:sz w:val="32"/>
          <w:szCs w:val="32"/>
        </w:rPr>
        <w:t>亿元，按期办件率为100%。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default" w:ascii="仿宋_GB2312" w:hAnsi="仿宋_GB2312" w:eastAsia="仿宋_GB2312" w:cs="仿宋_GB2312"/>
          <w:sz w:val="32"/>
          <w:szCs w:val="32"/>
        </w:rPr>
        <w:t>是编制完成了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sz w:val="32"/>
          <w:szCs w:val="32"/>
        </w:rPr>
        <w:t>“十四五”发展规划并于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sz w:val="32"/>
          <w:szCs w:val="32"/>
        </w:rPr>
        <w:t>政府门户网站发布。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（二）依申请公开情况。2021年度，我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局无</w:t>
      </w:r>
      <w:r>
        <w:rPr>
          <w:rFonts w:hint="default" w:ascii="仿宋_GB2312" w:hAnsi="仿宋_GB2312" w:eastAsia="仿宋_GB2312" w:cs="仿宋_GB2312"/>
          <w:sz w:val="32"/>
          <w:szCs w:val="32"/>
        </w:rPr>
        <w:t>依申请公开申请。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政务信息报送。2021年度，我局政务信息报送数为16条。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（四）政务新媒体管理。新开设了</w:t>
      </w:r>
      <w:r>
        <w:rPr>
          <w:rFonts w:hint="default" w:ascii="仿宋_GB2312" w:hAnsi="仿宋_GB2312" w:eastAsia="仿宋_GB2312" w:cs="仿宋_GB2312"/>
          <w:sz w:val="32"/>
          <w:szCs w:val="32"/>
        </w:rPr>
        <w:t>“临夏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市发展和改革局</w:t>
      </w:r>
      <w:r>
        <w:rPr>
          <w:rFonts w:hint="default" w:ascii="仿宋_GB2312" w:hAnsi="仿宋_GB2312" w:eastAsia="仿宋_GB2312" w:cs="仿宋_GB2312"/>
          <w:sz w:val="32"/>
          <w:szCs w:val="32"/>
        </w:rPr>
        <w:t>”微信公众号并发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布信息72次共328条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（五）市政府网站责任栏目更新。2021年度我局</w:t>
      </w:r>
      <w:r>
        <w:rPr>
          <w:rFonts w:hint="default" w:ascii="仿宋_GB2312" w:hAnsi="仿宋_GB2312" w:eastAsia="仿宋_GB2312" w:cs="仿宋_GB2312"/>
          <w:sz w:val="32"/>
          <w:szCs w:val="32"/>
        </w:rPr>
        <w:t>通过政府信息门户网站及时公开行政机关机构职能类、行政许可（审批）、重大项目建设信息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政策解读</w:t>
      </w:r>
      <w:r>
        <w:rPr>
          <w:rFonts w:hint="default" w:ascii="仿宋_GB2312" w:hAnsi="仿宋_GB2312" w:eastAsia="仿宋_GB2312" w:cs="仿宋_GB2312"/>
          <w:sz w:val="32"/>
          <w:szCs w:val="32"/>
        </w:rPr>
        <w:t>等信息共计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</w:t>
      </w:r>
      <w:r>
        <w:rPr>
          <w:rFonts w:hint="default" w:ascii="仿宋_GB2312" w:hAnsi="仿宋_GB2312" w:eastAsia="仿宋_GB2312" w:cs="仿宋_GB2312"/>
          <w:sz w:val="32"/>
          <w:szCs w:val="32"/>
        </w:rPr>
        <w:t>条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（六）群众信访件答复。</w:t>
      </w:r>
      <w:r>
        <w:rPr>
          <w:rFonts w:hint="default" w:ascii="仿宋_GB2312" w:hAnsi="仿宋_GB2312" w:eastAsia="仿宋_GB2312" w:cs="仿宋_GB2312"/>
          <w:sz w:val="32"/>
          <w:szCs w:val="32"/>
        </w:rPr>
        <w:t>2021年度，我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局无群众信访件答复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default" w:ascii="仿宋_GB2312" w:hAnsi="仿宋_GB2312" w:eastAsia="仿宋_GB2312" w:cs="仿宋_GB2312"/>
          <w:sz w:val="32"/>
          <w:szCs w:val="32"/>
        </w:rPr>
        <w:t>）监督保障。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default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根据关于政府信息公开工作的具体要求，明确了各职能股室及信息人员的政务信息公开工作职责，进一步明确政务公开责任追究办法，完善保密审查等程序，确保政务信息公开工作取得实效。二是及时传达省、州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政务公开工作部署要求，积极参加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政府举办的政务公开工作培训。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宋体"/>
          <w:b w:val="0"/>
          <w:bCs/>
          <w:snapToGrid/>
          <w:color w:val="BEBEBE"/>
          <w:sz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4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第二十条第（一）项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第二十条第（五）项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lang w:eastAsia="zh-CN"/>
              </w:rPr>
            </w:pPr>
            <w:r>
              <w:rPr>
                <w:rFonts w:hint="eastAsia" w:ascii="楷体" w:eastAsia="楷体"/>
                <w:color w:val="auto"/>
                <w:sz w:val="20"/>
                <w:lang w:val="en-US" w:eastAsia="zh-CN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lang w:val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第二十条第（六）项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楷体" w:hAnsi="楷体" w:eastAsia="楷体" w:cs="楷体"/>
                <w:color w:val="auto"/>
                <w:lang w:val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 xml:space="preserve">　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楷体" w:hAnsi="楷体" w:eastAsia="楷体" w:cs="楷体"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 xml:space="preserve">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第二十条第（八）项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400" w:right="0" w:hanging="400" w:hangingChars="2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行政事业性收费            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第二十条第（九）项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政府集中采购              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  <w:t>427112.5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依申请</w:t>
      </w:r>
      <w:r>
        <w:rPr>
          <w:rFonts w:hint="eastAsia" w:ascii="黑体" w:hAnsi="黑体" w:eastAsia="黑体" w:cs="黑体"/>
          <w:sz w:val="32"/>
          <w:szCs w:val="32"/>
        </w:rPr>
        <w:t>公开信息情况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94"/>
        <w:gridCol w:w="2906"/>
        <w:gridCol w:w="562"/>
        <w:gridCol w:w="675"/>
        <w:gridCol w:w="825"/>
        <w:gridCol w:w="769"/>
        <w:gridCol w:w="831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0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0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40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81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40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7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0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40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default" w:cs="Times New Roman"/>
                <w:lang w:val="en-US" w:eastAsia="zh-CN"/>
              </w:rPr>
              <w:t> </w:t>
            </w: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default" w:cs="Times New Roman"/>
                <w:lang w:val="en-US" w:eastAsia="zh-CN"/>
              </w:rPr>
              <w:t> </w:t>
            </w: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default" w:cs="Times New Roman"/>
                <w:lang w:val="en-US" w:eastAsia="zh-CN"/>
              </w:rPr>
              <w:t> </w:t>
            </w: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default" w:cs="Times New Roman"/>
                <w:lang w:val="en-US" w:eastAsia="zh-CN"/>
              </w:rPr>
              <w:t> </w:t>
            </w: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/>
          <w:b w:val="0"/>
          <w:bCs/>
          <w:snapToGrid/>
          <w:color w:val="BEBEBE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一年来我局信息公开工作取得了一定的成效但仍然存在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业务知识学习不够全面、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信息公开力度不够、信息公开清单不够完善，信息公开的手段和途径较单一等不足。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加大推进政府信息公开力度，进一步拓宽信息公开渠道，抓好群众关注热点问题的公开，不断完善相关制度建设，建立健全内部信息沟通协调机制，实现信息公开的制度化、规范化、常态化，形成信息公开的长效机制，加强对信息公开业务的学习，确保信息公开的及时性、准确性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 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无特别需要说明的事项。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临夏市发展和改革局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2022年1月18日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64F99E"/>
    <w:multiLevelType w:val="singleLevel"/>
    <w:tmpl w:val="BA64F99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44A5D"/>
    <w:rsid w:val="43485D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2022-02-22T03:07:37Z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1E58B946C99941D682976D7A8EA4D209</vt:lpwstr>
  </property>
</Properties>
</file>